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color w:val="454442"/>
        </w:rPr>
        <w:t>Инструкция</w:t>
      </w:r>
    </w:p>
    <w:p w:rsidR="0049189E" w:rsidRDefault="0049189E" w:rsidP="0049189E">
      <w:pPr>
        <w:pStyle w:val="1"/>
        <w:shd w:val="clear" w:color="auto" w:fill="FFFFFF"/>
        <w:spacing w:before="150" w:beforeAutospacing="0" w:after="150" w:afterAutospacing="0"/>
        <w:rPr>
          <w:rFonts w:ascii="Tahoma" w:hAnsi="Tahoma" w:cs="Tahoma"/>
          <w:color w:val="3696B2"/>
          <w:sz w:val="25"/>
          <w:szCs w:val="25"/>
        </w:rPr>
      </w:pPr>
      <w:r>
        <w:rPr>
          <w:sz w:val="24"/>
          <w:szCs w:val="24"/>
        </w:rPr>
        <w:t> руководителя областного государственного казенного образовательного учреждения для детей-сирот и детей, оставшихся без попечения родителей,</w:t>
      </w:r>
      <w:r>
        <w:rPr>
          <w:sz w:val="24"/>
          <w:szCs w:val="24"/>
        </w:rPr>
        <w:br/>
        <w:t>по мерам антитеррористической и противодиверсионной защиты</w:t>
      </w:r>
      <w:r>
        <w:rPr>
          <w:sz w:val="24"/>
          <w:szCs w:val="24"/>
        </w:rPr>
        <w:br/>
        <w:t> 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В целях реализации неотложных мер по усилению бдительности, обеспечению безопасности жизни и здоровья воспитанников и сотрудников областных государственных образовательных учреждений для детей-сирот и детей, оставшихся без попечения родителей, руководитель учреждения обязан: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 1. Изучить руководящие документы по предупреждению диверсионно-террористических актов: Федеральный закон от 06.03.2006 N 35-ФЗ "О противодействии терроризму», указ Президента Российской Федерации от 15.02.2006 № 116 «О мерах по противодействию терроризму», настоящую инструкцию.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2. Взять под личный контроль организацию антитеррористической и противодиверсионной защиты учреждения, развернуть разъяснительную работу среди воспитанников и сотрудников, направленную на усиление бдительности, организованности, готовности к действиям в чрезвычайных ситуациях.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3. Особое внимание уделить реализации следующих мероприятий: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провести комплекс предупредительно-профилактических мероприятий по повышению бдительности, направленной на обеспечение безопасности воспитанников и сотрудников;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усилить пропускной режим допуска граждан и автотранспорта на контролируемую территорию, исключить бесконтрольное пребывание на территории посторонних лиц;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исключить возможность нахождения бесхозных транспортных средств в непосредственной близости и на контролируемой территории;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усилить охрану учреждения, в случае отсутствия охраны - организовать дежурство педагогического и обслуживающего персонала;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не допускать к ведению ремонтных работ рабочих, не имеющих постоянной или временной регистрации;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обеспечить надежный круглосуточный контроль за вносимыми (ввозимыми) на территорию учреждения грузами и предметами ручной клади и своевременный вывоз твердых бытовых отходов;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ограждений;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с началом и окончанием занятий входные двери держать в закрытом состоянии;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  контролировать освещенность территории учреждения в темное время суток;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проверять наличие и исправность средств пожаротушения;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систематически корректировать схему оповещения сотрудников учреждения;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иметь в учреждении план действий по предупреждению и ликвидации чрезвычайной ситуации;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обеспечить предупредительный контроль мест массового скопления людей: классов, групп и помещений, где будут проводиться занятия, совещания, собрания, культурно - массовые мероприятия;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знать телефоны местных отделов ФСБ, отдела внутренних дел района, прокуратуры, военного комиссариата, противопожарной службы, скорой помощи и аварийной бригады;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lastRenderedPageBreak/>
        <w:t>- в случаях обнаружения фактов, указывающих на возможность террористического акта, чрезвычайного происшествия немедленно докладывать в отдел внутренних дел района, Департамент социальной защиты населения Ивановской области.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4. При обнаружении взрывчатых веществ (устройств), радиоактивных, химических и иных предметов, представляющих опасность для жизни и здоровья воспитанников и сотрудников: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немедленно доложить дежурному отдела внутренних дел района (тел. "02");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организовать эвакуацию детей и сотрудников в безопасную зону;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принять меры к оцеплению опасной зоны и запрещению прохода в нее людей;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по прибытии на место оперативной группы действовать в соответствии с указаниями  руководителя группы;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доложить руководителю отдела координации учреждений для детей-сирот и детей, оставшихся без попечения родителей, управления по опеке и попечительству Департамента социальной защиты населения Ивановской области.</w:t>
      </w:r>
      <w:r>
        <w:rPr>
          <w:rFonts w:ascii="Tahoma" w:hAnsi="Tahoma" w:cs="Tahoma"/>
          <w:color w:val="454442"/>
        </w:rPr>
        <w:t>   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С инструкцией ознакомлен(а)_______________/___________________________                               </w:t>
      </w:r>
    </w:p>
    <w:p w:rsidR="0049189E" w:rsidRDefault="0049189E" w:rsidP="0049189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                                                                       подпись                  расшифровка </w:t>
      </w:r>
    </w:p>
    <w:p w:rsidR="003E0016" w:rsidRPr="0049189E" w:rsidRDefault="003E0016" w:rsidP="0049189E">
      <w:bookmarkStart w:id="0" w:name="_GoBack"/>
      <w:bookmarkEnd w:id="0"/>
    </w:p>
    <w:sectPr w:rsidR="003E0016" w:rsidRPr="0049189E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5"/>
  </w:num>
  <w:num w:numId="5">
    <w:abstractNumId w:val="22"/>
  </w:num>
  <w:num w:numId="6">
    <w:abstractNumId w:val="26"/>
  </w:num>
  <w:num w:numId="7">
    <w:abstractNumId w:val="2"/>
  </w:num>
  <w:num w:numId="8">
    <w:abstractNumId w:val="27"/>
  </w:num>
  <w:num w:numId="9">
    <w:abstractNumId w:val="5"/>
  </w:num>
  <w:num w:numId="10">
    <w:abstractNumId w:val="4"/>
  </w:num>
  <w:num w:numId="11">
    <w:abstractNumId w:val="17"/>
  </w:num>
  <w:num w:numId="12">
    <w:abstractNumId w:val="23"/>
  </w:num>
  <w:num w:numId="13">
    <w:abstractNumId w:val="3"/>
  </w:num>
  <w:num w:numId="14">
    <w:abstractNumId w:val="1"/>
  </w:num>
  <w:num w:numId="15">
    <w:abstractNumId w:val="8"/>
  </w:num>
  <w:num w:numId="16">
    <w:abstractNumId w:val="16"/>
  </w:num>
  <w:num w:numId="17">
    <w:abstractNumId w:val="18"/>
  </w:num>
  <w:num w:numId="18">
    <w:abstractNumId w:val="12"/>
  </w:num>
  <w:num w:numId="19">
    <w:abstractNumId w:val="9"/>
  </w:num>
  <w:num w:numId="20">
    <w:abstractNumId w:val="13"/>
  </w:num>
  <w:num w:numId="21">
    <w:abstractNumId w:val="15"/>
  </w:num>
  <w:num w:numId="22">
    <w:abstractNumId w:val="7"/>
  </w:num>
  <w:num w:numId="23">
    <w:abstractNumId w:val="11"/>
  </w:num>
  <w:num w:numId="24">
    <w:abstractNumId w:val="19"/>
  </w:num>
  <w:num w:numId="25">
    <w:abstractNumId w:val="10"/>
  </w:num>
  <w:num w:numId="26">
    <w:abstractNumId w:val="1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2504D3"/>
    <w:rsid w:val="003605BD"/>
    <w:rsid w:val="00360D1A"/>
    <w:rsid w:val="003B681E"/>
    <w:rsid w:val="003E0016"/>
    <w:rsid w:val="0049189E"/>
    <w:rsid w:val="005A494C"/>
    <w:rsid w:val="005B7244"/>
    <w:rsid w:val="005F2E28"/>
    <w:rsid w:val="007232B3"/>
    <w:rsid w:val="007517B7"/>
    <w:rsid w:val="007D635B"/>
    <w:rsid w:val="008036E3"/>
    <w:rsid w:val="008A140B"/>
    <w:rsid w:val="00917DCB"/>
    <w:rsid w:val="009261A4"/>
    <w:rsid w:val="00A9586B"/>
    <w:rsid w:val="00B06DDA"/>
    <w:rsid w:val="00B668E0"/>
    <w:rsid w:val="00BE120D"/>
    <w:rsid w:val="00CC64EF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D172-0E10-4257-BD10-1FF702F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2021-12-22T06:44:00Z</dcterms:created>
  <dcterms:modified xsi:type="dcterms:W3CDTF">2021-12-22T07:24:00Z</dcterms:modified>
</cp:coreProperties>
</file>